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F92A64">
      <w:pPr>
        <w:pStyle w:val="NormalnyWeb"/>
        <w:spacing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Default="009F170F" w:rsidP="009927B4">
      <w:pPr>
        <w:ind w:left="360" w:hanging="360"/>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Default="009F170F" w:rsidP="00E91F6A"/>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4B339D" w:rsidRPr="004B339D" w:rsidRDefault="004B339D" w:rsidP="00416A2D">
            <w:pPr>
              <w:numPr>
                <w:ilvl w:val="0"/>
                <w:numId w:val="7"/>
              </w:numPr>
              <w:jc w:val="both"/>
            </w:pPr>
            <w:r w:rsidRPr="004B339D">
              <w:rPr>
                <w:i/>
                <w:sz w:val="20"/>
                <w:szCs w:val="20"/>
              </w:rPr>
              <w:t>Bezpieczne dzieci - budowa miejsc zabaw</w:t>
            </w:r>
            <w:r>
              <w:rPr>
                <w:i/>
                <w:sz w:val="20"/>
                <w:szCs w:val="20"/>
              </w:rPr>
              <w:t>(</w:t>
            </w:r>
            <w:r w:rsidRPr="004B339D">
              <w:rPr>
                <w:i/>
                <w:sz w:val="20"/>
                <w:szCs w:val="20"/>
              </w:rPr>
              <w:t>Kosewo i Szczypiorno</w:t>
            </w:r>
            <w:r>
              <w:rPr>
                <w:i/>
                <w:sz w:val="20"/>
                <w:szCs w:val="20"/>
              </w:rPr>
              <w:t>);</w:t>
            </w:r>
          </w:p>
          <w:p w:rsidR="004B339D" w:rsidRDefault="004B339D" w:rsidP="00416A2D">
            <w:pPr>
              <w:numPr>
                <w:ilvl w:val="0"/>
                <w:numId w:val="7"/>
              </w:numPr>
              <w:jc w:val="both"/>
              <w:rPr>
                <w:i/>
                <w:sz w:val="20"/>
                <w:szCs w:val="20"/>
              </w:rPr>
            </w:pPr>
            <w:r w:rsidRPr="004B339D">
              <w:rPr>
                <w:i/>
                <w:sz w:val="20"/>
                <w:szCs w:val="20"/>
              </w:rPr>
              <w:t>Wyposażenie Gminnego Ośrodka Kultury w Pomiechówku w nowoczesny sprzęt audiowizualny oraz zakup sprzętu dla Klubu Seniora i Młodzieżowego Klubu ,, Pompka"</w:t>
            </w:r>
            <w:r>
              <w:rPr>
                <w:i/>
                <w:sz w:val="20"/>
                <w:szCs w:val="20"/>
              </w:rPr>
              <w:t>;</w:t>
            </w:r>
          </w:p>
          <w:p w:rsidR="004B339D" w:rsidRDefault="004B339D" w:rsidP="00416A2D">
            <w:pPr>
              <w:numPr>
                <w:ilvl w:val="0"/>
                <w:numId w:val="7"/>
              </w:numPr>
              <w:jc w:val="both"/>
              <w:rPr>
                <w:i/>
                <w:sz w:val="20"/>
                <w:szCs w:val="20"/>
              </w:rPr>
            </w:pPr>
            <w:r w:rsidRPr="004B339D">
              <w:rPr>
                <w:i/>
                <w:sz w:val="20"/>
                <w:szCs w:val="20"/>
              </w:rPr>
              <w:t>Bezpieczne dzieci - budowa miejsca zabaw w Pomiechówku</w:t>
            </w:r>
            <w:r>
              <w:rPr>
                <w:i/>
                <w:sz w:val="20"/>
                <w:szCs w:val="20"/>
              </w:rPr>
              <w:t>;</w:t>
            </w:r>
          </w:p>
          <w:p w:rsidR="004B339D" w:rsidRDefault="004B339D" w:rsidP="00416A2D">
            <w:pPr>
              <w:numPr>
                <w:ilvl w:val="0"/>
                <w:numId w:val="7"/>
              </w:numPr>
              <w:jc w:val="both"/>
              <w:rPr>
                <w:i/>
                <w:sz w:val="20"/>
                <w:szCs w:val="20"/>
              </w:rPr>
            </w:pPr>
            <w:r w:rsidRPr="004B339D">
              <w:rPr>
                <w:i/>
                <w:sz w:val="20"/>
                <w:szCs w:val="20"/>
              </w:rPr>
              <w:t xml:space="preserve">Remont świetlicy wiejskiej we </w:t>
            </w:r>
            <w:proofErr w:type="spellStart"/>
            <w:r w:rsidRPr="004B339D">
              <w:rPr>
                <w:i/>
                <w:sz w:val="20"/>
                <w:szCs w:val="20"/>
              </w:rPr>
              <w:t>wsi</w:t>
            </w:r>
            <w:proofErr w:type="spellEnd"/>
            <w:r>
              <w:rPr>
                <w:i/>
                <w:sz w:val="20"/>
                <w:szCs w:val="20"/>
              </w:rPr>
              <w:t xml:space="preserve"> Pomiechowo, Czarnowo;</w:t>
            </w:r>
          </w:p>
          <w:p w:rsidR="004B339D" w:rsidRDefault="004B339D" w:rsidP="00416A2D">
            <w:pPr>
              <w:numPr>
                <w:ilvl w:val="0"/>
                <w:numId w:val="7"/>
              </w:numPr>
              <w:jc w:val="both"/>
              <w:rPr>
                <w:i/>
                <w:sz w:val="20"/>
                <w:szCs w:val="20"/>
              </w:rPr>
            </w:pPr>
            <w:r w:rsidRPr="004B339D">
              <w:rPr>
                <w:i/>
                <w:sz w:val="20"/>
                <w:szCs w:val="20"/>
              </w:rPr>
              <w:t xml:space="preserve">Budowa świetlicy wiejskiej we </w:t>
            </w:r>
            <w:proofErr w:type="spellStart"/>
            <w:r w:rsidRPr="004B339D">
              <w:rPr>
                <w:i/>
                <w:sz w:val="20"/>
                <w:szCs w:val="20"/>
              </w:rPr>
              <w:t>wsi</w:t>
            </w:r>
            <w:proofErr w:type="spellEnd"/>
            <w:r w:rsidRPr="004B339D">
              <w:rPr>
                <w:i/>
                <w:sz w:val="20"/>
                <w:szCs w:val="20"/>
              </w:rPr>
              <w:t xml:space="preserve"> Nowy Modlin</w:t>
            </w:r>
            <w:r w:rsidR="00FC0B10">
              <w:rPr>
                <w:i/>
                <w:sz w:val="20"/>
                <w:szCs w:val="20"/>
              </w:rPr>
              <w:t xml:space="preserve"> oraz Błęd</w:t>
            </w:r>
            <w:r>
              <w:rPr>
                <w:i/>
                <w:sz w:val="20"/>
                <w:szCs w:val="20"/>
              </w:rPr>
              <w:t>owo;</w:t>
            </w:r>
          </w:p>
          <w:p w:rsidR="004B339D" w:rsidRDefault="004B339D" w:rsidP="00416A2D">
            <w:pPr>
              <w:numPr>
                <w:ilvl w:val="0"/>
                <w:numId w:val="7"/>
              </w:numPr>
              <w:jc w:val="both"/>
              <w:rPr>
                <w:i/>
                <w:sz w:val="20"/>
                <w:szCs w:val="20"/>
              </w:rPr>
            </w:pPr>
            <w:r w:rsidRPr="004B339D">
              <w:rPr>
                <w:i/>
                <w:sz w:val="20"/>
                <w:szCs w:val="20"/>
              </w:rPr>
              <w:t>Zakup sprzętu i wyposażenia rekreacyjnego na potrzeby turystyki kajakowej</w:t>
            </w:r>
            <w:r>
              <w:rPr>
                <w:i/>
                <w:sz w:val="20"/>
                <w:szCs w:val="20"/>
              </w:rPr>
              <w:t>;</w:t>
            </w:r>
          </w:p>
          <w:p w:rsidR="0068311D" w:rsidRPr="004B339D" w:rsidRDefault="004B339D" w:rsidP="004B339D">
            <w:pPr>
              <w:numPr>
                <w:ilvl w:val="0"/>
                <w:numId w:val="7"/>
              </w:numPr>
              <w:jc w:val="both"/>
              <w:rPr>
                <w:i/>
                <w:sz w:val="20"/>
                <w:szCs w:val="20"/>
              </w:rPr>
            </w:pPr>
            <w:r w:rsidRPr="004B339D">
              <w:rPr>
                <w:i/>
                <w:sz w:val="20"/>
                <w:szCs w:val="20"/>
              </w:rPr>
              <w:t>Siłownia jako inwestycja w zdrowie - udostępnianie urządzeń i sprzętu"</w:t>
            </w:r>
            <w:r>
              <w:rPr>
                <w:i/>
                <w:sz w:val="20"/>
                <w:szCs w:val="20"/>
              </w:rPr>
              <w:t xml:space="preserve"> (</w:t>
            </w:r>
            <w:r w:rsidRPr="004B339D">
              <w:rPr>
                <w:i/>
                <w:sz w:val="20"/>
                <w:szCs w:val="20"/>
              </w:rPr>
              <w:t xml:space="preserve">Brody </w:t>
            </w:r>
            <w:r>
              <w:rPr>
                <w:i/>
                <w:sz w:val="20"/>
                <w:szCs w:val="20"/>
              </w:rPr>
              <w:t>–</w:t>
            </w:r>
            <w:r w:rsidRPr="004B339D">
              <w:rPr>
                <w:i/>
                <w:sz w:val="20"/>
                <w:szCs w:val="20"/>
              </w:rPr>
              <w:t xml:space="preserve"> Parcele</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Pr="0068311D" w:rsidRDefault="009F170F" w:rsidP="006577F0">
      <w:pPr>
        <w:rPr>
          <w:sz w:val="12"/>
          <w:szCs w:val="12"/>
        </w:rPr>
      </w:pP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lastRenderedPageBreak/>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FC0B10">
        <w:tc>
          <w:tcPr>
            <w:tcW w:w="543" w:type="dxa"/>
            <w:tcBorders>
              <w:bottom w:val="single" w:sz="4" w:space="0" w:color="auto"/>
            </w:tcBorders>
          </w:tcPr>
          <w:p w:rsidR="009F170F" w:rsidRDefault="009F170F" w:rsidP="00BD4CDD">
            <w:r>
              <w:t>11.</w:t>
            </w:r>
          </w:p>
        </w:tc>
        <w:tc>
          <w:tcPr>
            <w:tcW w:w="6403" w:type="dxa"/>
            <w:tcBorders>
              <w:bottom w:val="single" w:sz="4" w:space="0" w:color="auto"/>
            </w:tcBorders>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FC0B10" w:rsidRPr="00DB756E" w:rsidTr="00FC0B10">
        <w:tc>
          <w:tcPr>
            <w:tcW w:w="543" w:type="dxa"/>
            <w:tcBorders>
              <w:left w:val="nil"/>
              <w:bottom w:val="nil"/>
              <w:right w:val="nil"/>
            </w:tcBorders>
          </w:tcPr>
          <w:p w:rsidR="00FC0B10" w:rsidRDefault="00FC0B10" w:rsidP="00BD4CDD"/>
        </w:tc>
        <w:tc>
          <w:tcPr>
            <w:tcW w:w="6403" w:type="dxa"/>
            <w:tcBorders>
              <w:left w:val="nil"/>
              <w:bottom w:val="nil"/>
            </w:tcBorders>
          </w:tcPr>
          <w:p w:rsidR="00FC0B10" w:rsidRPr="009927B4" w:rsidRDefault="00FC0B10" w:rsidP="00C223BE">
            <w:pPr>
              <w:jc w:val="both"/>
              <w:rPr>
                <w:sz w:val="22"/>
                <w:szCs w:val="22"/>
              </w:rPr>
            </w:pPr>
          </w:p>
        </w:tc>
        <w:tc>
          <w:tcPr>
            <w:tcW w:w="567" w:type="dxa"/>
          </w:tcPr>
          <w:p w:rsidR="00FC0B10" w:rsidRPr="00DB756E" w:rsidRDefault="00FC0B10" w:rsidP="00FC0B10">
            <w:pPr>
              <w:jc w:val="center"/>
            </w:pPr>
            <w:r>
              <w:t>1</w:t>
            </w:r>
          </w:p>
        </w:tc>
        <w:tc>
          <w:tcPr>
            <w:tcW w:w="567" w:type="dxa"/>
          </w:tcPr>
          <w:p w:rsidR="00FC0B10" w:rsidRPr="00DB756E" w:rsidRDefault="00FC0B10" w:rsidP="00FC0B10">
            <w:pPr>
              <w:jc w:val="center"/>
            </w:pPr>
            <w:r>
              <w:t>2</w:t>
            </w:r>
          </w:p>
        </w:tc>
        <w:tc>
          <w:tcPr>
            <w:tcW w:w="567" w:type="dxa"/>
          </w:tcPr>
          <w:p w:rsidR="00FC0B10" w:rsidRPr="00DB756E" w:rsidRDefault="00FC0B10" w:rsidP="00FC0B10">
            <w:pPr>
              <w:jc w:val="center"/>
            </w:pPr>
            <w:r>
              <w:t>3</w:t>
            </w:r>
          </w:p>
        </w:tc>
        <w:tc>
          <w:tcPr>
            <w:tcW w:w="567" w:type="dxa"/>
          </w:tcPr>
          <w:p w:rsidR="00FC0B10" w:rsidRPr="00DB756E" w:rsidRDefault="00FC0B10" w:rsidP="00FC0B10">
            <w:pPr>
              <w:jc w:val="center"/>
            </w:pPr>
            <w:r>
              <w:t>4</w:t>
            </w:r>
          </w:p>
        </w:tc>
        <w:tc>
          <w:tcPr>
            <w:tcW w:w="516" w:type="dxa"/>
          </w:tcPr>
          <w:p w:rsidR="00FC0B10" w:rsidRPr="00DB756E" w:rsidRDefault="00FC0B10" w:rsidP="00FC0B10">
            <w:pPr>
              <w:jc w:val="center"/>
            </w:pPr>
            <w:r>
              <w:t>5</w:t>
            </w:r>
          </w:p>
        </w:tc>
      </w:tr>
    </w:tbl>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FC0B10" w:rsidRDefault="009F170F" w:rsidP="009057BA">
      <w:pPr>
        <w:ind w:left="360"/>
        <w:jc w:val="center"/>
        <w:rPr>
          <w:sz w:val="8"/>
          <w:szCs w:val="8"/>
        </w:rP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1B" w:rsidRDefault="00CB1D1B" w:rsidP="00710FFE">
      <w:r>
        <w:separator/>
      </w:r>
    </w:p>
  </w:endnote>
  <w:endnote w:type="continuationSeparator" w:id="0">
    <w:p w:rsidR="00CB1D1B" w:rsidRDefault="00CB1D1B"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1B" w:rsidRDefault="00CB1D1B" w:rsidP="00710FFE">
      <w:r>
        <w:separator/>
      </w:r>
    </w:p>
  </w:footnote>
  <w:footnote w:type="continuationSeparator" w:id="0">
    <w:p w:rsidR="00CB1D1B" w:rsidRDefault="00CB1D1B"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D61306">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B339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B1D1B"/>
    <w:rsid w:val="00CC7076"/>
    <w:rsid w:val="00CD0964"/>
    <w:rsid w:val="00CD20C4"/>
    <w:rsid w:val="00CF4EDD"/>
    <w:rsid w:val="00CF573C"/>
    <w:rsid w:val="00D150AC"/>
    <w:rsid w:val="00D168D8"/>
    <w:rsid w:val="00D4587F"/>
    <w:rsid w:val="00D61306"/>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 w:val="00FC0B1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749</Words>
  <Characters>4497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8</cp:revision>
  <cp:lastPrinted>2015-04-20T10:36:00Z</cp:lastPrinted>
  <dcterms:created xsi:type="dcterms:W3CDTF">2015-04-16T10:58:00Z</dcterms:created>
  <dcterms:modified xsi:type="dcterms:W3CDTF">2015-04-20T11:35:00Z</dcterms:modified>
</cp:coreProperties>
</file>